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18:08</w:t>
      </w:r>
    </w:p>
    <w:p>
      <w:r>
        <w:t xml:space="preserve">Source: OLMERO_EMAIL</w:t>
      </w:r>
    </w:p>
    <w:p>
      <w:r>
        <w:t xml:space="preserve">Project Title: demande après coup pour le remplacement d’antennes adaptatives sur mât existant avec facteur de correction pour les technologies</w:t>
      </w:r>
    </w:p>
    <w:p>
      <w:r>
        <w:t xml:space="preserve">Description:</w:t>
      </w:r>
    </w:p>
    <w:p>
      <w:r>
        <w:t xml:space="preserve">Budget: 0.07 mil. SFr | Bauherr: . 03 Nov 2025 ‍ | Architekt: . 03 Nov 2025 Swisscom (Suisse) SA 1700 Fribourg. | Baustart: Jan 2026 ‍ Planung/detaillierte | Phase: Baugesuch eingereicht ‍ Cablex AG 3073 Gümligen</w:t>
      </w:r>
    </w:p>
    <w:p>
      <w:r>
        <w:t xml:space="preserve">Link: https://smart.olmero.ch/sales/my-projects/1459626?set_client_id=26509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