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isolation périphérique et changement de production de chaleur avec l’installation d'une PAC.</w:t>
      </w:r>
    </w:p>
    <w:p>
      <w:r>
        <w:t xml:space="preserve">Description:</w:t>
      </w:r>
    </w:p>
    <w:p>
      <w:r>
        <w:t xml:space="preserve">Budget: 0.12 mil. SFr | Bauherr: . 03 Nov 2025 MBR Architecture SA 2610 Saint-Imier | Architekt: . 03 Nov 2025 ‍ | Baustart: Jan 2026 ‍ Planung/detaillierte | Phase: Baugesuch eingereicht ‍ Mélanie et Lukas Lehmann 2720 Tramelan</w:t>
      </w:r>
    </w:p>
    <w:p>
      <w:r>
        <w:t xml:space="preserve">Link: https://smart.olmero.ch/sales/my-projects/1459653?set_client_id=26509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