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Energetische Sanierung des gesamten Gebäudes</w:t>
      </w:r>
    </w:p>
    <w:p>
      <w:r>
        <w:t xml:space="preserve">Description:</w:t>
      </w:r>
    </w:p>
    <w:p>
      <w:r>
        <w:t xml:space="preserve">Budget: 0.5 mil. SFr | Bauherr: . 04 Nov 2025 ‍ Elisabeth Roth | Architekt: . 04 Nov 2025 ‍ | Baustart: Nov 2025 ‍ Planung/detaillierte | Phase: Baugesuch eingereicht ‍ Elisabeth Roth 3812 Wilderswil</w:t>
      </w:r>
    </w:p>
    <w:p>
      <w:r>
        <w:t xml:space="preserve">Link: https://smart.olmero.ch/sales/my-projects/1459937?set_client_id=26509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