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Umbau/Erweiterung Wohnhaus und Neubau Garage.</w:t>
      </w:r>
    </w:p>
    <w:p>
      <w:r>
        <w:t xml:space="preserve">Description:</w:t>
      </w:r>
    </w:p>
    <w:p>
      <w:r>
        <w:t xml:space="preserve">Budget: 0.15 mil. SFr | Architekt: . 07 Nov 2025 ‍ | Baustart: Jan 2026 ‍ Planung/detaillierte | Phase: Baugesuch eingereicht ‍ Leibundgut &amp; Schenk AG 3672 Oberdiessbach</w:t>
      </w:r>
    </w:p>
    <w:p>
      <w:r>
        <w:t xml:space="preserve">Link: https://smart.olmero.ch/sales/my-projects/1462125?set_client_id=26509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