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05:31</w:t>
      </w:r>
    </w:p>
    <w:p>
      <w:r>
        <w:t xml:space="preserve">Source: OLMERO_EMAIL</w:t>
      </w:r>
    </w:p>
    <w:p>
      <w:r>
        <w:t xml:space="preserve">Project Title: Umnutzung einer Garage zu einer Autogarage für gewerbliche Nutzung, mit Einbau Autohebebühne</w:t>
      </w:r>
    </w:p>
    <w:p>
      <w:r>
        <w:t xml:space="preserve">Description:</w:t>
      </w:r>
    </w:p>
    <w:p>
      <w:r>
        <w:t xml:space="preserve">Budget: 0.5 mil. SFr | Bauherr: . 10 Nov 2025 ‍ Remo Kissling | Architekt: . 10 Nov 2025 Remo Kissling 4805 Brittnau | Baustart: Nov 2025 ‍ Planung/detaillierte | Phase: Baugesuch eingereicht ‍ Anita Luder</w:t>
      </w:r>
    </w:p>
    <w:p>
      <w:r>
        <w:t xml:space="preserve">Link: https://smart.olmero.ch/sales/my-projects/1462414?set_client_id=26509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