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Bewilligung von Umnutzungen in der bestehenden Gewerbehalle</w:t>
      </w:r>
    </w:p>
    <w:p>
      <w:r>
        <w:t xml:space="preserve">Description:</w:t>
      </w:r>
    </w:p>
    <w:p>
      <w:r>
        <w:t xml:space="preserve">Budget: 1 mil. SFr | Bauherr: . 10 Nov 2025 ‍ | Baustart: Nov 2025 ‍ Planung/detaillierte | Phase: Baugesuch eingereicht - Vorabinfo ‍ von Büren AG 2544 Bettlach</w:t>
      </w:r>
    </w:p>
    <w:p>
      <w:r>
        <w:t xml:space="preserve">Link: https://smart.olmero.ch/sales/my-projects/1462388?set_client_id=26509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