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Umnutzung Arztpraxis in Wohnung</w:t>
      </w:r>
    </w:p>
    <w:p>
      <w:r>
        <w:t xml:space="preserve">Description:</w:t>
      </w:r>
    </w:p>
    <w:p>
      <w:r>
        <w:t xml:space="preserve">Budget: 0.1 mil. SFr | Bauherr: . 12 Nov 2025 ‍ | Architekt: en HTL/STV AG | Baustart: Dez 2025 ‍ Planung/detaillierte | Phase: Baugesuch eingereicht ‍ Müller + Partner dipl.</w:t>
      </w:r>
    </w:p>
    <w:p>
      <w:r>
        <w:t xml:space="preserve">Link: https://smart.olmero.ch/sales/my-projects/1463417?set_client_id=26509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