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Energetische Sanierung Fassade, Ersatz Jalousien durch Raffstoren, Erhöhung Fenster- und Balkonbrüstungen</w:t>
      </w:r>
    </w:p>
    <w:p>
      <w:r>
        <w:t xml:space="preserve">Description:</w:t>
      </w:r>
    </w:p>
    <w:p>
      <w:r>
        <w:t xml:space="preserve">Budget: 0.5 mil. SFr Construction start Dec 2025 ‍ Planning/detailed stage Building application submitted ‍ IB Langenthal AG Architect. 13 Nov 2025 Maria-Antonia Hofstetter 3360 Herzogenbuchsee Promoter. 13 Nov 2025 ‍ Maria-Antonia Hofstetter Promoter ‍</w:t>
      </w:r>
    </w:p>
    <w:p>
      <w:r>
        <w:t xml:space="preserve">Link: https://smart.olmero.ch/sales/my-projects/1464050?set_client_id=26509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