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05:31</w:t>
      </w:r>
    </w:p>
    <w:p>
      <w:r>
        <w:t xml:space="preserve">Source: OLMERO_EMAIL</w:t>
      </w:r>
    </w:p>
    <w:p>
      <w:r>
        <w:t xml:space="preserve">Project Title: Projektänderung zum Gesamtbauentscheid Regierungsstatthalteramt Interlaken-Oberhasli</w:t>
      </w:r>
    </w:p>
    <w:p>
      <w:r>
        <w:t xml:space="preserve">Description:</w:t>
      </w:r>
    </w:p>
    <w:p>
      <w:r>
        <w:t xml:space="preserve">Budget: 0.3 mil. SFr Construction start Jan 2026 ‍ Planning/detailed stage Building application submitted ‍ Künzi + Knutti Immo AG Promoter. 17 Nov 2025 HMS | Architekt: en AG 3700 Spiez Architect. 17 Nov 2025 ‍</w:t>
      </w:r>
    </w:p>
    <w:p>
      <w:r>
        <w:t xml:space="preserve">Link: https://smart.olmero.ch/sales/my-projects/1465505?set_client_id=26509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