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Projektänderung zu Gesamtbauentscheid Regierungsstatthalteramt Interlaken-Oberhasli vom 27. November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