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Abbruch best. Gebäude und Ersatzneubau Wohnhaus</w:t>
      </w:r>
    </w:p>
    <w:p>
      <w:r>
        <w:t xml:space="preserve">Description:</w:t>
      </w:r>
    </w:p>
    <w:p>
      <w:r>
        <w:t xml:space="preserve">Budget: 1 mil. SFr Construction start Feb 2026 ‍ Planning/detailed stage Planning application - Early Info ‍ Stefanie Kohler 3700 Spiez Promoter. 20 Nov 2025 ‍ Stefanie Kohler Promoter Bärtschi Variohaus AG 3714 Frutigen Architect. 20 Nov 2025 ‍</w:t>
      </w:r>
    </w:p>
    <w:p>
      <w:r>
        <w:t xml:space="preserve">Link: https://smart.olmero.ch/sales/my-projects/1467327?set_client_id=26509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