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Erstellung eines Zugangstores zur Gärtnerei</w:t>
      </w:r>
    </w:p>
    <w:p>
      <w:r>
        <w:t xml:space="preserve">Description:</w:t>
      </w:r>
    </w:p>
    <w:p>
      <w:r>
        <w:t xml:space="preserve">Budget: 0.15 mil. SFr Construction start Dec 2025 ‍ Planning/detailed stage Building application submitted ‍ Studienzentrum Gerzensee, Stiftung der Schweizerischen Nationalbank 3115 Gerzensee Promoter. 21 Nov 2025 Hofmann Landschafts | Architekt: en AG Architect. 21 Nov 2025 ‍</w:t>
      </w:r>
    </w:p>
    <w:p>
      <w:r>
        <w:t xml:space="preserve">Link: https://smart.olmero.ch/sales/my-projects/1468211?set_client_id=26509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