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Ausbau des Dachgeschosses durch isolieren der Aussenwände und Dachflächen, Einbau von Fenstern und einem Holzofen</w:t>
      </w:r>
    </w:p>
    <w:p>
      <w:r>
        <w:t xml:space="preserve">Description:</w:t>
      </w:r>
    </w:p>
    <w:p>
      <w:r>
        <w:t xml:space="preserve">Budget: 0.3 mil. SFr Construction start Feb 2026 ‍ Planning/detailed stage Building application submitted ‍ Dominik Bürgi und Susanna Neuenschwander 3672 Oberdiessbach Promoter. 21 Nov 2025 ‍ Dominik Bürgi Promoter ‍ Susanna Neuenschwander Promoter Christian Breitenstein 3600 Thun Architect. 21 Nov 2025 ‍ Christian Breitenstein Architect ‍</w:t>
      </w:r>
    </w:p>
    <w:p>
      <w:r>
        <w:t xml:space="preserve">Link: https://smart.olmero.ch/sales/my-projects/1467669?set_client_id=26509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