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Abbruch und Neubau Mehrfamilienhaus</w:t>
      </w:r>
    </w:p>
    <w:p>
      <w:r>
        <w:t xml:space="preserve">Description:</w:t>
      </w:r>
    </w:p>
    <w:p>
      <w:r>
        <w:t xml:space="preserve">Budget: 2.5 mil. SFr Construction start Feb 2026 ‍ Planning/detailed stage Planning application - Early Info ‍ KOHLERSTRAUMANN | Architekt: en AG 4051 Basel Architect. 14 Nov 2025 Terraluk Immobilien AG 4242 Laufen Promoter. 14 Nov 2025 ‍</w:t>
      </w:r>
    </w:p>
    <w:p>
      <w:r>
        <w:t xml:space="preserve">Link: https://smart.olmero.ch/sales/my-projects/1464656?set_client_id=26509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